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2DC5" w14:textId="46F5894C" w:rsidR="00053401" w:rsidRDefault="00CD0B33" w:rsidP="00BE5C5D">
      <w:pPr>
        <w:spacing w:line="440" w:lineRule="exact"/>
        <w:rPr>
          <w:rFonts w:eastAsia="標楷體"/>
          <w:sz w:val="36"/>
          <w:szCs w:val="36"/>
        </w:rPr>
      </w:pPr>
      <w:r w:rsidRPr="00342E76">
        <w:rPr>
          <w:rFonts w:ascii="標楷體" w:eastAsia="標楷體" w:hAnsi="標楷體"/>
          <w:noProof/>
          <w:color w:val="000000" w:themeColor="text1"/>
          <w:sz w:val="36"/>
          <w:szCs w:val="36"/>
          <w:lang w:eastAsia="zh-HK"/>
        </w:rPr>
        <mc:AlternateContent>
          <mc:Choice Requires="wps">
            <w:drawing>
              <wp:anchor distT="45720" distB="45720" distL="114300" distR="114300" simplePos="0" relativeHeight="251659264" behindDoc="1" locked="0" layoutInCell="1" allowOverlap="1" wp14:anchorId="66A9096F" wp14:editId="4FF32D88">
                <wp:simplePos x="0" y="0"/>
                <wp:positionH relativeFrom="column">
                  <wp:posOffset>0</wp:posOffset>
                </wp:positionH>
                <wp:positionV relativeFrom="paragraph">
                  <wp:posOffset>-363855</wp:posOffset>
                </wp:positionV>
                <wp:extent cx="933450" cy="3143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19408964" w14:textId="2EED9BF6" w:rsidR="00CD0B33" w:rsidRPr="00342E76" w:rsidRDefault="00CD0B33" w:rsidP="00CD0B33">
                            <w:pPr>
                              <w:spacing w:line="340" w:lineRule="exact"/>
                              <w:jc w:val="center"/>
                              <w:rPr>
                                <w:rFonts w:eastAsia="標楷體"/>
                                <w:sz w:val="28"/>
                                <w:szCs w:val="28"/>
                              </w:rPr>
                            </w:pPr>
                            <w:r w:rsidRPr="00342E76">
                              <w:rPr>
                                <w:rFonts w:eastAsia="標楷體"/>
                                <w:sz w:val="28"/>
                                <w:szCs w:val="28"/>
                              </w:rPr>
                              <w:t>附件</w:t>
                            </w:r>
                            <w:r w:rsidR="00EC4C58">
                              <w:rPr>
                                <w:rFonts w:eastAsia="標楷體"/>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9096F" id="_x0000_t202" coordsize="21600,21600" o:spt="202" path="m,l,21600r21600,l21600,xe">
                <v:stroke joinstyle="miter"/>
                <v:path gradientshapeok="t" o:connecttype="rect"/>
              </v:shapetype>
              <v:shape id="文字方塊 2" o:spid="_x0000_s1026" type="#_x0000_t202" style="position:absolute;margin-left:0;margin-top:-28.65pt;width:73.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ODAIAAB4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">
                <v:textbox>
                  <w:txbxContent>
                    <w:p w14:paraId="19408964" w14:textId="2EED9BF6" w:rsidR="00CD0B33" w:rsidRPr="00342E76" w:rsidRDefault="00CD0B33" w:rsidP="00CD0B33">
                      <w:pPr>
                        <w:spacing w:line="340" w:lineRule="exact"/>
                        <w:jc w:val="center"/>
                        <w:rPr>
                          <w:rFonts w:eastAsia="標楷體"/>
                          <w:sz w:val="28"/>
                          <w:szCs w:val="28"/>
                        </w:rPr>
                      </w:pPr>
                      <w:r w:rsidRPr="00342E76">
                        <w:rPr>
                          <w:rFonts w:eastAsia="標楷體"/>
                          <w:sz w:val="28"/>
                          <w:szCs w:val="28"/>
                        </w:rPr>
                        <w:t>附件</w:t>
                      </w:r>
                      <w:r w:rsidR="00EC4C58">
                        <w:rPr>
                          <w:rFonts w:eastAsia="標楷體"/>
                          <w:sz w:val="28"/>
                          <w:szCs w:val="28"/>
                        </w:rPr>
                        <w:t>3</w:t>
                      </w:r>
                    </w:p>
                  </w:txbxContent>
                </v:textbox>
              </v:shape>
            </w:pict>
          </mc:Fallback>
        </mc:AlternateContent>
      </w:r>
      <w:r w:rsidR="00053401" w:rsidRPr="0066482A">
        <w:rPr>
          <w:rFonts w:eastAsia="標楷體"/>
          <w:sz w:val="36"/>
          <w:szCs w:val="36"/>
        </w:rPr>
        <w:t>中華民國證券商業同業公會</w:t>
      </w:r>
      <w:r w:rsidR="00A00ED1" w:rsidRPr="0066482A">
        <w:rPr>
          <w:rFonts w:eastAsia="標楷體"/>
          <w:sz w:val="36"/>
          <w:szCs w:val="36"/>
        </w:rPr>
        <w:t>「</w:t>
      </w:r>
      <w:r w:rsidR="00053401" w:rsidRPr="0066482A">
        <w:rPr>
          <w:rFonts w:eastAsia="標楷體"/>
          <w:sz w:val="36"/>
          <w:szCs w:val="36"/>
        </w:rPr>
        <w:t>承銷商辦理初次上市（櫃）案件承銷作業應行注意事項要點</w:t>
      </w:r>
      <w:r w:rsidR="00A00ED1" w:rsidRPr="0066482A">
        <w:rPr>
          <w:rFonts w:eastAsia="標楷體"/>
          <w:sz w:val="36"/>
          <w:szCs w:val="36"/>
        </w:rPr>
        <w:t>」第</w:t>
      </w:r>
      <w:r w:rsidR="00FD7654">
        <w:rPr>
          <w:rFonts w:eastAsia="標楷體" w:hint="eastAsia"/>
          <w:sz w:val="36"/>
          <w:szCs w:val="36"/>
        </w:rPr>
        <w:t>十</w:t>
      </w:r>
      <w:r w:rsidR="00FE7519">
        <w:rPr>
          <w:rFonts w:eastAsia="標楷體" w:hint="eastAsia"/>
          <w:sz w:val="36"/>
          <w:szCs w:val="36"/>
        </w:rPr>
        <w:t>點</w:t>
      </w:r>
      <w:r w:rsidR="00FD7654">
        <w:rPr>
          <w:rFonts w:eastAsia="標楷體" w:hint="eastAsia"/>
          <w:sz w:val="36"/>
          <w:szCs w:val="36"/>
        </w:rPr>
        <w:t>之</w:t>
      </w:r>
      <w:proofErr w:type="gramStart"/>
      <w:r w:rsidR="00FD7654">
        <w:rPr>
          <w:rFonts w:eastAsia="標楷體" w:hint="eastAsia"/>
          <w:sz w:val="36"/>
          <w:szCs w:val="36"/>
        </w:rPr>
        <w:t>一</w:t>
      </w:r>
      <w:proofErr w:type="gramEnd"/>
      <w:r w:rsidR="0047189B" w:rsidRPr="0066482A">
        <w:rPr>
          <w:rFonts w:eastAsia="標楷體"/>
          <w:sz w:val="36"/>
          <w:szCs w:val="36"/>
        </w:rPr>
        <w:t>修正條文對照表</w:t>
      </w:r>
    </w:p>
    <w:p w14:paraId="13D3C07E" w14:textId="77777777" w:rsidR="00A916AB" w:rsidRPr="0066482A" w:rsidRDefault="00A916AB" w:rsidP="00BE5C5D">
      <w:pPr>
        <w:spacing w:line="440" w:lineRule="exact"/>
        <w:rPr>
          <w:rFonts w:eastAsia="標楷體"/>
          <w:sz w:val="36"/>
          <w:szCs w:val="36"/>
        </w:rPr>
      </w:pPr>
    </w:p>
    <w:tbl>
      <w:tblPr>
        <w:tblStyle w:val="a3"/>
        <w:tblW w:w="0" w:type="auto"/>
        <w:tblLook w:val="04A0" w:firstRow="1" w:lastRow="0" w:firstColumn="1" w:lastColumn="0" w:noHBand="0" w:noVBand="1"/>
      </w:tblPr>
      <w:tblGrid>
        <w:gridCol w:w="3211"/>
        <w:gridCol w:w="3211"/>
        <w:gridCol w:w="3212"/>
      </w:tblGrid>
      <w:tr w:rsidR="00053401" w:rsidRPr="00A916AB" w14:paraId="10BE3C40" w14:textId="77777777" w:rsidTr="00BE5C5D">
        <w:tc>
          <w:tcPr>
            <w:tcW w:w="3211" w:type="dxa"/>
          </w:tcPr>
          <w:p w14:paraId="11D9B9BD" w14:textId="77777777" w:rsidR="00053401" w:rsidRPr="00A916AB" w:rsidRDefault="00053401" w:rsidP="00A916AB">
            <w:pPr>
              <w:spacing w:line="400" w:lineRule="exact"/>
              <w:jc w:val="center"/>
              <w:rPr>
                <w:rFonts w:eastAsia="標楷體"/>
                <w:b/>
                <w:bCs/>
                <w:szCs w:val="24"/>
              </w:rPr>
            </w:pPr>
            <w:r w:rsidRPr="00A916AB">
              <w:rPr>
                <w:rFonts w:eastAsia="標楷體"/>
                <w:b/>
                <w:bCs/>
                <w:szCs w:val="24"/>
              </w:rPr>
              <w:t>修正條文</w:t>
            </w:r>
          </w:p>
        </w:tc>
        <w:tc>
          <w:tcPr>
            <w:tcW w:w="3211" w:type="dxa"/>
          </w:tcPr>
          <w:p w14:paraId="68B73B35" w14:textId="77777777" w:rsidR="00053401" w:rsidRPr="00A916AB" w:rsidRDefault="00053401" w:rsidP="00A916AB">
            <w:pPr>
              <w:spacing w:line="400" w:lineRule="exact"/>
              <w:jc w:val="center"/>
              <w:rPr>
                <w:rFonts w:eastAsia="標楷體"/>
                <w:b/>
                <w:bCs/>
                <w:szCs w:val="24"/>
              </w:rPr>
            </w:pPr>
            <w:r w:rsidRPr="00A916AB">
              <w:rPr>
                <w:rFonts w:eastAsia="標楷體"/>
                <w:b/>
                <w:bCs/>
                <w:szCs w:val="24"/>
              </w:rPr>
              <w:t>現行條文</w:t>
            </w:r>
          </w:p>
        </w:tc>
        <w:tc>
          <w:tcPr>
            <w:tcW w:w="3212" w:type="dxa"/>
          </w:tcPr>
          <w:p w14:paraId="58675F42" w14:textId="77777777" w:rsidR="00053401" w:rsidRPr="00A916AB" w:rsidRDefault="00053401" w:rsidP="00A916AB">
            <w:pPr>
              <w:spacing w:line="400" w:lineRule="exact"/>
              <w:jc w:val="center"/>
              <w:rPr>
                <w:rFonts w:eastAsia="標楷體"/>
                <w:b/>
                <w:bCs/>
                <w:szCs w:val="24"/>
              </w:rPr>
            </w:pPr>
            <w:r w:rsidRPr="00A916AB">
              <w:rPr>
                <w:rFonts w:eastAsia="標楷體"/>
                <w:b/>
                <w:bCs/>
                <w:szCs w:val="24"/>
              </w:rPr>
              <w:t>說明</w:t>
            </w:r>
          </w:p>
        </w:tc>
      </w:tr>
      <w:tr w:rsidR="00053401" w:rsidRPr="00A916AB" w14:paraId="5A571D64" w14:textId="77777777" w:rsidTr="00BE5C5D">
        <w:tc>
          <w:tcPr>
            <w:tcW w:w="3211" w:type="dxa"/>
          </w:tcPr>
          <w:p w14:paraId="60877E3A" w14:textId="1F9BC873" w:rsidR="00053401" w:rsidRPr="00A916AB" w:rsidRDefault="00053401" w:rsidP="00A916AB">
            <w:pPr>
              <w:spacing w:line="400" w:lineRule="exact"/>
              <w:ind w:left="720" w:hangingChars="300" w:hanging="720"/>
              <w:rPr>
                <w:rFonts w:eastAsia="標楷體"/>
                <w:szCs w:val="24"/>
              </w:rPr>
            </w:pPr>
            <w:r w:rsidRPr="00A916AB">
              <w:rPr>
                <w:rFonts w:eastAsia="標楷體"/>
                <w:szCs w:val="24"/>
              </w:rPr>
              <w:t>十之一、承銷商輔導外國發行人所發行之股票未在國外證券市場掛牌交易且其股票經臺灣證券交所股份有限公司或財團法人中華民國證券櫃檯買賣中心同意以普通股辦理股票初次上市（櫃）之案件</w:t>
            </w:r>
            <w:r w:rsidRPr="00A916AB">
              <w:rPr>
                <w:rFonts w:eastAsia="標楷體" w:hint="eastAsia"/>
                <w:szCs w:val="24"/>
              </w:rPr>
              <w:t>、</w:t>
            </w:r>
            <w:r w:rsidRPr="00A916AB">
              <w:rPr>
                <w:rFonts w:eastAsia="標楷體" w:hint="eastAsia"/>
                <w:b/>
                <w:bCs/>
                <w:szCs w:val="24"/>
                <w:u w:val="single"/>
              </w:rPr>
              <w:t>股票申請創新板初次上市案件</w:t>
            </w:r>
            <w:r w:rsidRPr="00A916AB">
              <w:rPr>
                <w:rFonts w:eastAsia="標楷體"/>
                <w:b/>
                <w:bCs/>
                <w:szCs w:val="24"/>
                <w:u w:val="single"/>
              </w:rPr>
              <w:t>，</w:t>
            </w:r>
            <w:r w:rsidRPr="00A916AB">
              <w:rPr>
                <w:rFonts w:eastAsia="標楷體"/>
                <w:szCs w:val="24"/>
              </w:rPr>
              <w:t>應依本要點之規定辦理。</w:t>
            </w:r>
          </w:p>
        </w:tc>
        <w:tc>
          <w:tcPr>
            <w:tcW w:w="3211" w:type="dxa"/>
          </w:tcPr>
          <w:p w14:paraId="73EAF833" w14:textId="77777777" w:rsidR="00053401" w:rsidRPr="00A916AB" w:rsidRDefault="00053401" w:rsidP="00A916AB">
            <w:pPr>
              <w:spacing w:line="400" w:lineRule="exact"/>
              <w:ind w:left="720" w:hangingChars="300" w:hanging="720"/>
              <w:rPr>
                <w:rFonts w:eastAsia="標楷體"/>
                <w:szCs w:val="24"/>
              </w:rPr>
            </w:pPr>
            <w:r w:rsidRPr="00A916AB">
              <w:rPr>
                <w:rFonts w:eastAsia="標楷體"/>
                <w:szCs w:val="24"/>
              </w:rPr>
              <w:t>十之一、承銷商輔導外國發行人所發行之股票未在國外證券市場掛牌交易且其股票經臺灣證券交所股份有限公司或財團法人中華民國證券櫃檯買賣中心同意以普通股辦理股票初次上市（櫃）之案件，應依本要點之規定辦理。</w:t>
            </w:r>
          </w:p>
          <w:p w14:paraId="49026930" w14:textId="77777777" w:rsidR="00053401" w:rsidRPr="00A916AB" w:rsidRDefault="00053401" w:rsidP="00A916AB">
            <w:pPr>
              <w:spacing w:line="400" w:lineRule="exact"/>
              <w:rPr>
                <w:rFonts w:eastAsia="標楷體"/>
                <w:szCs w:val="24"/>
              </w:rPr>
            </w:pPr>
          </w:p>
        </w:tc>
        <w:tc>
          <w:tcPr>
            <w:tcW w:w="3212" w:type="dxa"/>
          </w:tcPr>
          <w:p w14:paraId="7C8A2269" w14:textId="11660C93" w:rsidR="00053401" w:rsidRPr="00A916AB" w:rsidRDefault="00053401" w:rsidP="00A916AB">
            <w:pPr>
              <w:spacing w:line="400" w:lineRule="exact"/>
              <w:rPr>
                <w:rFonts w:eastAsia="標楷體"/>
                <w:szCs w:val="24"/>
              </w:rPr>
            </w:pPr>
            <w:r w:rsidRPr="00A916AB">
              <w:rPr>
                <w:rFonts w:eastAsia="標楷體" w:hint="eastAsia"/>
                <w:szCs w:val="24"/>
              </w:rPr>
              <w:t>配合創新板初次上市案件掛牌後首五日無漲跌幅限制並應執行穩定價格措施，</w:t>
            </w:r>
            <w:proofErr w:type="gramStart"/>
            <w:r w:rsidRPr="00A916AB">
              <w:rPr>
                <w:rFonts w:eastAsia="標楷體" w:hint="eastAsia"/>
                <w:szCs w:val="24"/>
              </w:rPr>
              <w:t>爰</w:t>
            </w:r>
            <w:proofErr w:type="gramEnd"/>
            <w:r w:rsidRPr="00A916AB">
              <w:rPr>
                <w:rFonts w:eastAsia="標楷體" w:hint="eastAsia"/>
                <w:szCs w:val="24"/>
              </w:rPr>
              <w:t>修正十之一、，明訂</w:t>
            </w:r>
            <w:r w:rsidR="00873FBB" w:rsidRPr="00A916AB">
              <w:rPr>
                <w:rFonts w:eastAsia="標楷體" w:hint="eastAsia"/>
                <w:szCs w:val="24"/>
              </w:rPr>
              <w:t>承</w:t>
            </w:r>
            <w:r w:rsidRPr="00A916AB">
              <w:rPr>
                <w:rFonts w:eastAsia="標楷體" w:hint="eastAsia"/>
                <w:szCs w:val="24"/>
              </w:rPr>
              <w:t>銷商辦理創新板上市案件應依本注意事項要點規定辦理。</w:t>
            </w:r>
          </w:p>
        </w:tc>
      </w:tr>
    </w:tbl>
    <w:p w14:paraId="07D5C7C5" w14:textId="77777777" w:rsidR="00053401" w:rsidRPr="00053401" w:rsidRDefault="00053401" w:rsidP="00053401">
      <w:pPr>
        <w:spacing w:line="440" w:lineRule="exact"/>
        <w:rPr>
          <w:rFonts w:eastAsia="標楷體"/>
          <w:sz w:val="28"/>
          <w:szCs w:val="28"/>
        </w:rPr>
      </w:pPr>
    </w:p>
    <w:sectPr w:rsidR="00053401" w:rsidRPr="00053401" w:rsidSect="00BE5C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A1DB" w14:textId="77777777" w:rsidR="00CD7A46" w:rsidRDefault="00CD7A46" w:rsidP="00873FBB">
      <w:r>
        <w:separator/>
      </w:r>
    </w:p>
  </w:endnote>
  <w:endnote w:type="continuationSeparator" w:id="0">
    <w:p w14:paraId="3CE9E405" w14:textId="77777777" w:rsidR="00CD7A46" w:rsidRDefault="00CD7A46" w:rsidP="0087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19FC" w14:textId="77777777" w:rsidR="00CD7A46" w:rsidRDefault="00CD7A46" w:rsidP="00873FBB">
      <w:r>
        <w:separator/>
      </w:r>
    </w:p>
  </w:footnote>
  <w:footnote w:type="continuationSeparator" w:id="0">
    <w:p w14:paraId="57C46E9B" w14:textId="77777777" w:rsidR="00CD7A46" w:rsidRDefault="00CD7A46" w:rsidP="00873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01"/>
    <w:rsid w:val="00053401"/>
    <w:rsid w:val="000579BB"/>
    <w:rsid w:val="0009062B"/>
    <w:rsid w:val="001372C1"/>
    <w:rsid w:val="002901A3"/>
    <w:rsid w:val="0047189B"/>
    <w:rsid w:val="0066482A"/>
    <w:rsid w:val="00873FBB"/>
    <w:rsid w:val="00983AB8"/>
    <w:rsid w:val="00A00ED1"/>
    <w:rsid w:val="00A328E2"/>
    <w:rsid w:val="00A879B7"/>
    <w:rsid w:val="00A916AB"/>
    <w:rsid w:val="00A974A3"/>
    <w:rsid w:val="00B41887"/>
    <w:rsid w:val="00BE5C5D"/>
    <w:rsid w:val="00C21B71"/>
    <w:rsid w:val="00CD0B33"/>
    <w:rsid w:val="00CD2C92"/>
    <w:rsid w:val="00CD7A46"/>
    <w:rsid w:val="00D33E7F"/>
    <w:rsid w:val="00EC4C58"/>
    <w:rsid w:val="00FD7654"/>
    <w:rsid w:val="00FE7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4DF0"/>
  <w15:chartTrackingRefBased/>
  <w15:docId w15:val="{B833F0BC-072A-406D-8FE4-B5935CB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01"/>
    <w:pPr>
      <w:widowControl w:val="0"/>
    </w:pPr>
    <w:rPr>
      <w:rFonts w:ascii="Times New Roman" w:eastAsia="新細明體"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FBB"/>
    <w:pPr>
      <w:tabs>
        <w:tab w:val="center" w:pos="4153"/>
        <w:tab w:val="right" w:pos="8306"/>
      </w:tabs>
      <w:snapToGrid w:val="0"/>
    </w:pPr>
    <w:rPr>
      <w:sz w:val="20"/>
    </w:rPr>
  </w:style>
  <w:style w:type="character" w:customStyle="1" w:styleId="a5">
    <w:name w:val="頁首 字元"/>
    <w:basedOn w:val="a0"/>
    <w:link w:val="a4"/>
    <w:uiPriority w:val="99"/>
    <w:rsid w:val="00873FBB"/>
    <w:rPr>
      <w:rFonts w:ascii="Times New Roman" w:eastAsia="新細明體" w:hAnsi="Times New Roman" w:cs="Times New Roman"/>
      <w:sz w:val="20"/>
      <w:szCs w:val="20"/>
      <w14:ligatures w14:val="none"/>
    </w:rPr>
  </w:style>
  <w:style w:type="paragraph" w:styleId="a6">
    <w:name w:val="footer"/>
    <w:basedOn w:val="a"/>
    <w:link w:val="a7"/>
    <w:uiPriority w:val="99"/>
    <w:unhideWhenUsed/>
    <w:rsid w:val="00873FBB"/>
    <w:pPr>
      <w:tabs>
        <w:tab w:val="center" w:pos="4153"/>
        <w:tab w:val="right" w:pos="8306"/>
      </w:tabs>
      <w:snapToGrid w:val="0"/>
    </w:pPr>
    <w:rPr>
      <w:sz w:val="20"/>
    </w:rPr>
  </w:style>
  <w:style w:type="character" w:customStyle="1" w:styleId="a7">
    <w:name w:val="頁尾 字元"/>
    <w:basedOn w:val="a0"/>
    <w:link w:val="a6"/>
    <w:uiPriority w:val="99"/>
    <w:rsid w:val="00873FBB"/>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韻琳 鍾</cp:lastModifiedBy>
  <cp:revision>14</cp:revision>
  <cp:lastPrinted>2023-08-09T05:43:00Z</cp:lastPrinted>
  <dcterms:created xsi:type="dcterms:W3CDTF">2023-08-03T02:51:00Z</dcterms:created>
  <dcterms:modified xsi:type="dcterms:W3CDTF">2023-09-05T07:18:00Z</dcterms:modified>
</cp:coreProperties>
</file>